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BC71" w14:textId="4A5769DA" w:rsidR="009715C5" w:rsidRDefault="0040333A" w:rsidP="00E34C3C">
      <w:pPr>
        <w:jc w:val="both"/>
        <w:rPr>
          <w:rFonts w:ascii="Arial" w:hAnsi="Arial" w:cs="Arial"/>
          <w:sz w:val="24"/>
          <w:szCs w:val="24"/>
        </w:rPr>
      </w:pPr>
      <w:r w:rsidRPr="0040333A">
        <w:rPr>
          <w:rFonts w:ascii="Arial" w:hAnsi="Arial" w:cs="Arial"/>
          <w:sz w:val="24"/>
          <w:szCs w:val="24"/>
        </w:rPr>
        <w:t>D</w:t>
      </w:r>
      <w:r>
        <w:rPr>
          <w:rFonts w:ascii="Arial" w:hAnsi="Arial" w:cs="Arial"/>
          <w:sz w:val="24"/>
          <w:szCs w:val="24"/>
        </w:rPr>
        <w:t>. ________________________________</w:t>
      </w:r>
      <w:r w:rsidRPr="0040333A">
        <w:rPr>
          <w:rFonts w:ascii="Arial" w:hAnsi="Arial" w:cs="Arial"/>
          <w:sz w:val="24"/>
          <w:szCs w:val="24"/>
        </w:rPr>
        <w:t xml:space="preserve">, con DNI </w:t>
      </w:r>
      <w:r>
        <w:rPr>
          <w:rFonts w:ascii="Arial" w:hAnsi="Arial" w:cs="Arial"/>
          <w:sz w:val="24"/>
          <w:szCs w:val="24"/>
        </w:rPr>
        <w:t>_____________</w:t>
      </w:r>
      <w:r w:rsidRPr="0040333A">
        <w:rPr>
          <w:rFonts w:ascii="Arial" w:hAnsi="Arial" w:cs="Arial"/>
          <w:sz w:val="24"/>
          <w:szCs w:val="24"/>
        </w:rPr>
        <w:t xml:space="preserve">, Médico de Atención </w:t>
      </w:r>
      <w:r>
        <w:rPr>
          <w:rFonts w:ascii="Arial" w:hAnsi="Arial" w:cs="Arial"/>
          <w:sz w:val="24"/>
          <w:szCs w:val="24"/>
        </w:rPr>
        <w:t>Primaria (Médico de Familia/Pediatra)</w:t>
      </w:r>
      <w:r w:rsidRPr="0040333A">
        <w:rPr>
          <w:rFonts w:ascii="Arial" w:hAnsi="Arial" w:cs="Arial"/>
          <w:sz w:val="24"/>
          <w:szCs w:val="24"/>
        </w:rPr>
        <w:t xml:space="preserve"> en EAP </w:t>
      </w:r>
      <w:r>
        <w:rPr>
          <w:rFonts w:ascii="Arial" w:hAnsi="Arial" w:cs="Arial"/>
          <w:sz w:val="24"/>
          <w:szCs w:val="24"/>
        </w:rPr>
        <w:t>______________</w:t>
      </w:r>
      <w:r w:rsidRPr="0040333A">
        <w:rPr>
          <w:rFonts w:ascii="Arial" w:hAnsi="Arial" w:cs="Arial"/>
          <w:sz w:val="24"/>
          <w:szCs w:val="24"/>
        </w:rPr>
        <w:t xml:space="preserve"> , con </w:t>
      </w:r>
      <w:r>
        <w:rPr>
          <w:rFonts w:ascii="Arial" w:hAnsi="Arial" w:cs="Arial"/>
          <w:sz w:val="24"/>
          <w:szCs w:val="24"/>
        </w:rPr>
        <w:t>correo _____________________________</w:t>
      </w:r>
      <w:r w:rsidRPr="0040333A">
        <w:rPr>
          <w:rFonts w:ascii="Arial" w:hAnsi="Arial" w:cs="Arial"/>
          <w:sz w:val="24"/>
          <w:szCs w:val="24"/>
        </w:rPr>
        <w:t xml:space="preserve"> a efecto de notificaciones</w:t>
      </w:r>
      <w:r>
        <w:rPr>
          <w:rFonts w:ascii="Arial" w:hAnsi="Arial" w:cs="Arial"/>
          <w:sz w:val="24"/>
          <w:szCs w:val="24"/>
        </w:rPr>
        <w:t xml:space="preserve"> </w:t>
      </w:r>
      <w:r w:rsidR="00A01E77">
        <w:rPr>
          <w:rFonts w:ascii="Arial" w:hAnsi="Arial" w:cs="Arial"/>
          <w:sz w:val="24"/>
          <w:szCs w:val="24"/>
        </w:rPr>
        <w:t>electrónicas</w:t>
      </w:r>
      <w:r w:rsidR="009715C5" w:rsidRPr="009715C5">
        <w:rPr>
          <w:rFonts w:ascii="Arial" w:hAnsi="Arial" w:cs="Arial"/>
          <w:sz w:val="24"/>
          <w:szCs w:val="24"/>
        </w:rPr>
        <w:t>,</w:t>
      </w:r>
      <w:r w:rsidR="009715C5" w:rsidRPr="009715C5">
        <w:rPr>
          <w:rFonts w:ascii="Arial" w:hAnsi="Arial" w:cs="Arial"/>
          <w:sz w:val="24"/>
          <w:szCs w:val="24"/>
          <w:lang w:val="es-ES_tradnl"/>
        </w:rPr>
        <w:t xml:space="preserve"> </w:t>
      </w:r>
      <w:r w:rsidR="009715C5" w:rsidRPr="009715C5">
        <w:rPr>
          <w:rFonts w:ascii="Arial" w:hAnsi="Arial" w:cs="Arial"/>
          <w:sz w:val="24"/>
          <w:szCs w:val="24"/>
          <w:u w:val="single"/>
        </w:rPr>
        <w:t>comparece ante</w:t>
      </w:r>
      <w:r w:rsidR="009715C5" w:rsidRPr="009715C5">
        <w:rPr>
          <w:rFonts w:ascii="Arial" w:hAnsi="Arial" w:cs="Arial"/>
          <w:sz w:val="24"/>
          <w:szCs w:val="24"/>
        </w:rPr>
        <w:t xml:space="preserve"> </w:t>
      </w:r>
      <w:r>
        <w:rPr>
          <w:rFonts w:ascii="Arial" w:hAnsi="Arial" w:cs="Arial"/>
          <w:sz w:val="24"/>
          <w:szCs w:val="24"/>
        </w:rPr>
        <w:t>el</w:t>
      </w:r>
      <w:r w:rsidR="009715C5" w:rsidRPr="009715C5">
        <w:rPr>
          <w:rFonts w:ascii="Arial" w:hAnsi="Arial" w:cs="Arial"/>
          <w:sz w:val="24"/>
          <w:szCs w:val="24"/>
        </w:rPr>
        <w:t xml:space="preserve"> </w:t>
      </w:r>
      <w:r w:rsidR="00A01E77">
        <w:rPr>
          <w:rFonts w:ascii="Arial" w:hAnsi="Arial" w:cs="Arial"/>
          <w:sz w:val="24"/>
          <w:szCs w:val="24"/>
        </w:rPr>
        <w:t>Gerente</w:t>
      </w:r>
      <w:r w:rsidR="009715C5" w:rsidRPr="009715C5">
        <w:rPr>
          <w:rFonts w:ascii="Arial" w:hAnsi="Arial" w:cs="Arial"/>
          <w:sz w:val="24"/>
          <w:szCs w:val="24"/>
        </w:rPr>
        <w:t xml:space="preserve"> del </w:t>
      </w:r>
      <w:r>
        <w:rPr>
          <w:rFonts w:ascii="Arial" w:hAnsi="Arial" w:cs="Arial"/>
          <w:sz w:val="24"/>
          <w:szCs w:val="24"/>
        </w:rPr>
        <w:t xml:space="preserve">sector __________________        </w:t>
      </w:r>
      <w:r w:rsidR="009715C5" w:rsidRPr="009715C5">
        <w:rPr>
          <w:rFonts w:ascii="Arial" w:hAnsi="Arial" w:cs="Arial"/>
          <w:sz w:val="24"/>
          <w:szCs w:val="24"/>
        </w:rPr>
        <w:t xml:space="preserve">y, </w:t>
      </w:r>
      <w:r w:rsidR="009715C5" w:rsidRPr="009715C5">
        <w:rPr>
          <w:rFonts w:ascii="Arial" w:hAnsi="Arial" w:cs="Arial"/>
          <w:b/>
          <w:smallCaps/>
          <w:sz w:val="24"/>
          <w:szCs w:val="24"/>
        </w:rPr>
        <w:t>dice</w:t>
      </w:r>
      <w:r w:rsidR="009715C5" w:rsidRPr="009715C5">
        <w:rPr>
          <w:rFonts w:ascii="Arial" w:hAnsi="Arial" w:cs="Arial"/>
          <w:sz w:val="24"/>
          <w:szCs w:val="24"/>
        </w:rPr>
        <w:t>:</w:t>
      </w:r>
    </w:p>
    <w:p w14:paraId="11FFE367" w14:textId="77777777" w:rsidR="00A01E77" w:rsidRPr="009715C5" w:rsidRDefault="00A01E77" w:rsidP="00E34C3C">
      <w:pPr>
        <w:jc w:val="both"/>
        <w:rPr>
          <w:rFonts w:ascii="Arial" w:hAnsi="Arial" w:cs="Arial"/>
          <w:sz w:val="24"/>
          <w:szCs w:val="24"/>
        </w:rPr>
      </w:pPr>
    </w:p>
    <w:p w14:paraId="4F3DB7AA" w14:textId="786D0F78" w:rsidR="00562666" w:rsidRPr="00562666" w:rsidRDefault="00562666" w:rsidP="00562666">
      <w:pPr>
        <w:ind w:firstLine="708"/>
        <w:jc w:val="both"/>
        <w:rPr>
          <w:rFonts w:ascii="Arial" w:hAnsi="Arial" w:cs="Arial"/>
          <w:sz w:val="24"/>
          <w:szCs w:val="24"/>
        </w:rPr>
      </w:pPr>
      <w:r w:rsidRPr="00562666">
        <w:rPr>
          <w:rFonts w:ascii="Arial" w:hAnsi="Arial" w:cs="Arial"/>
          <w:sz w:val="24"/>
          <w:szCs w:val="24"/>
        </w:rPr>
        <w:t xml:space="preserve">Primero. – Que los Acuerdos de Gestión </w:t>
      </w:r>
      <w:r w:rsidR="00F328D0">
        <w:rPr>
          <w:rFonts w:ascii="Arial" w:hAnsi="Arial" w:cs="Arial"/>
          <w:sz w:val="24"/>
          <w:szCs w:val="24"/>
        </w:rPr>
        <w:t xml:space="preserve">en Atención Primaria </w:t>
      </w:r>
      <w:r w:rsidRPr="00562666">
        <w:rPr>
          <w:rFonts w:ascii="Arial" w:hAnsi="Arial" w:cs="Arial"/>
          <w:sz w:val="24"/>
          <w:szCs w:val="24"/>
        </w:rPr>
        <w:t>correspondientes al ejercicio 2026 han sido remitidos a los centros sanitarios reproduciendo prácticas ya denunciadas en ejercicios anteriores, sin que se haya procedido a su corrección.</w:t>
      </w:r>
    </w:p>
    <w:p w14:paraId="791CB350" w14:textId="51AC80DE" w:rsidR="00562666" w:rsidRPr="00562666" w:rsidRDefault="00562666" w:rsidP="00562666">
      <w:pPr>
        <w:ind w:firstLine="708"/>
        <w:jc w:val="both"/>
        <w:rPr>
          <w:rFonts w:ascii="Arial" w:hAnsi="Arial" w:cs="Arial"/>
          <w:sz w:val="24"/>
          <w:szCs w:val="24"/>
        </w:rPr>
      </w:pPr>
      <w:r w:rsidRPr="00562666">
        <w:rPr>
          <w:rFonts w:ascii="Arial" w:hAnsi="Arial" w:cs="Arial"/>
          <w:sz w:val="24"/>
          <w:szCs w:val="24"/>
        </w:rPr>
        <w:t>Segundo. – Que, en relación con la Productividad Variable (PV), se está produciendo una alteración unilateral de los criterios de reparto, mediante la introducción de índices y ponderaciones distintos de los aprobados por el Departamento de Sanidad</w:t>
      </w:r>
      <w:r w:rsidR="007D0B38">
        <w:rPr>
          <w:rFonts w:ascii="Arial" w:hAnsi="Arial" w:cs="Arial"/>
          <w:sz w:val="24"/>
          <w:szCs w:val="24"/>
        </w:rPr>
        <w:t>.</w:t>
      </w:r>
    </w:p>
    <w:p w14:paraId="7F114C95" w14:textId="163F0C9D" w:rsidR="00562666" w:rsidRPr="00562666" w:rsidRDefault="00562666" w:rsidP="00AA5199">
      <w:pPr>
        <w:ind w:firstLine="708"/>
        <w:jc w:val="both"/>
        <w:rPr>
          <w:rFonts w:ascii="Arial" w:hAnsi="Arial" w:cs="Arial"/>
          <w:sz w:val="24"/>
          <w:szCs w:val="24"/>
        </w:rPr>
      </w:pPr>
      <w:r w:rsidRPr="00562666">
        <w:rPr>
          <w:rFonts w:ascii="Arial" w:hAnsi="Arial" w:cs="Arial"/>
          <w:sz w:val="24"/>
          <w:szCs w:val="24"/>
        </w:rPr>
        <w:t>Tercero. – Que determinadas Direcciones de Atención Primaria han implantado modelos propios de distribución de la PV</w:t>
      </w:r>
      <w:r w:rsidR="003C43EB">
        <w:rPr>
          <w:rFonts w:ascii="Arial" w:hAnsi="Arial" w:cs="Arial"/>
          <w:sz w:val="24"/>
          <w:szCs w:val="24"/>
        </w:rPr>
        <w:t xml:space="preserve"> (médico AP 3.4, Enfermería 2.4, Admisión 1.4)</w:t>
      </w:r>
      <w:r w:rsidRPr="00562666">
        <w:rPr>
          <w:rFonts w:ascii="Arial" w:hAnsi="Arial" w:cs="Arial"/>
          <w:sz w:val="24"/>
          <w:szCs w:val="24"/>
        </w:rPr>
        <w:t>, al margen de los criterios oficiales</w:t>
      </w:r>
      <w:r>
        <w:rPr>
          <w:rFonts w:ascii="Arial" w:hAnsi="Arial" w:cs="Arial"/>
          <w:sz w:val="24"/>
          <w:szCs w:val="24"/>
        </w:rPr>
        <w:t xml:space="preserve"> recogidos en el Acuerdo </w:t>
      </w:r>
      <w:r w:rsidR="00AA5199">
        <w:rPr>
          <w:rFonts w:ascii="Arial" w:hAnsi="Arial" w:cs="Arial"/>
          <w:sz w:val="24"/>
          <w:szCs w:val="24"/>
        </w:rPr>
        <w:t xml:space="preserve">Contrato Programa </w:t>
      </w:r>
      <w:r>
        <w:rPr>
          <w:rFonts w:ascii="Arial" w:hAnsi="Arial" w:cs="Arial"/>
          <w:sz w:val="24"/>
          <w:szCs w:val="24"/>
        </w:rPr>
        <w:t>Marco</w:t>
      </w:r>
      <w:r w:rsidR="00AA5199">
        <w:rPr>
          <w:rFonts w:ascii="Arial" w:hAnsi="Arial" w:cs="Arial"/>
          <w:sz w:val="24"/>
          <w:szCs w:val="24"/>
        </w:rPr>
        <w:t xml:space="preserve"> (</w:t>
      </w:r>
      <w:r w:rsidR="00AA5199" w:rsidRPr="00AA5199">
        <w:rPr>
          <w:rFonts w:ascii="Arial" w:hAnsi="Arial" w:cs="Arial"/>
          <w:sz w:val="24"/>
          <w:szCs w:val="24"/>
        </w:rPr>
        <w:t>Facultativo especialista de Área/ EAP</w:t>
      </w:r>
      <w:r w:rsidR="003C43EB">
        <w:rPr>
          <w:rFonts w:ascii="Arial" w:hAnsi="Arial" w:cs="Arial"/>
          <w:sz w:val="24"/>
          <w:szCs w:val="24"/>
        </w:rPr>
        <w:t xml:space="preserve"> </w:t>
      </w:r>
      <w:r w:rsidR="00AA5199" w:rsidRPr="00AA5199">
        <w:rPr>
          <w:rFonts w:ascii="Arial" w:hAnsi="Arial" w:cs="Arial"/>
          <w:sz w:val="24"/>
          <w:szCs w:val="24"/>
        </w:rPr>
        <w:t>7,155</w:t>
      </w:r>
      <w:r w:rsidR="00AA5199">
        <w:rPr>
          <w:rFonts w:ascii="Arial" w:hAnsi="Arial" w:cs="Arial"/>
          <w:sz w:val="24"/>
          <w:szCs w:val="24"/>
        </w:rPr>
        <w:t xml:space="preserve">, </w:t>
      </w:r>
      <w:r w:rsidR="00AA5199" w:rsidRPr="00AA5199">
        <w:rPr>
          <w:rFonts w:ascii="Arial" w:hAnsi="Arial" w:cs="Arial"/>
          <w:sz w:val="24"/>
          <w:szCs w:val="24"/>
        </w:rPr>
        <w:t>Enfermería</w:t>
      </w:r>
      <w:r w:rsidR="003C43EB">
        <w:rPr>
          <w:rFonts w:ascii="Arial" w:hAnsi="Arial" w:cs="Arial"/>
          <w:sz w:val="24"/>
          <w:szCs w:val="24"/>
        </w:rPr>
        <w:t xml:space="preserve"> </w:t>
      </w:r>
      <w:r w:rsidR="00AA5199" w:rsidRPr="00AA5199">
        <w:rPr>
          <w:rFonts w:ascii="Arial" w:hAnsi="Arial" w:cs="Arial"/>
          <w:sz w:val="24"/>
          <w:szCs w:val="24"/>
        </w:rPr>
        <w:t>2,292</w:t>
      </w:r>
      <w:r w:rsidR="00AA5199">
        <w:rPr>
          <w:rFonts w:ascii="Arial" w:hAnsi="Arial" w:cs="Arial"/>
          <w:sz w:val="24"/>
          <w:szCs w:val="24"/>
        </w:rPr>
        <w:t xml:space="preserve"> y </w:t>
      </w:r>
      <w:r w:rsidR="00AA5199" w:rsidRPr="00AA5199">
        <w:rPr>
          <w:rFonts w:ascii="Arial" w:hAnsi="Arial" w:cs="Arial"/>
          <w:sz w:val="24"/>
          <w:szCs w:val="24"/>
        </w:rPr>
        <w:t>Admisión</w:t>
      </w:r>
      <w:r w:rsidR="003C43EB">
        <w:rPr>
          <w:rFonts w:ascii="Arial" w:hAnsi="Arial" w:cs="Arial"/>
          <w:sz w:val="24"/>
          <w:szCs w:val="24"/>
        </w:rPr>
        <w:t xml:space="preserve"> </w:t>
      </w:r>
      <w:r w:rsidR="00AA5199" w:rsidRPr="00AA5199">
        <w:rPr>
          <w:rFonts w:ascii="Arial" w:hAnsi="Arial" w:cs="Arial"/>
          <w:sz w:val="24"/>
          <w:szCs w:val="24"/>
        </w:rPr>
        <w:t>1,129</w:t>
      </w:r>
      <w:r w:rsidR="00AA5199">
        <w:rPr>
          <w:rFonts w:ascii="Arial" w:hAnsi="Arial" w:cs="Arial"/>
          <w:sz w:val="24"/>
          <w:szCs w:val="24"/>
        </w:rPr>
        <w:t>)</w:t>
      </w:r>
      <w:r w:rsidRPr="00562666">
        <w:rPr>
          <w:rFonts w:ascii="Arial" w:hAnsi="Arial" w:cs="Arial"/>
          <w:sz w:val="24"/>
          <w:szCs w:val="24"/>
        </w:rPr>
        <w:t>,</w:t>
      </w:r>
      <w:r w:rsidR="00AA5199">
        <w:rPr>
          <w:rFonts w:ascii="Arial" w:hAnsi="Arial" w:cs="Arial"/>
          <w:sz w:val="24"/>
          <w:szCs w:val="24"/>
        </w:rPr>
        <w:t xml:space="preserve"> l</w:t>
      </w:r>
      <w:r w:rsidRPr="00562666">
        <w:rPr>
          <w:rFonts w:ascii="Arial" w:hAnsi="Arial" w:cs="Arial"/>
          <w:sz w:val="24"/>
          <w:szCs w:val="24"/>
        </w:rPr>
        <w:t>o que supone</w:t>
      </w:r>
      <w:r>
        <w:rPr>
          <w:rFonts w:ascii="Arial" w:hAnsi="Arial" w:cs="Arial"/>
          <w:sz w:val="24"/>
          <w:szCs w:val="24"/>
        </w:rPr>
        <w:t xml:space="preserve"> u</w:t>
      </w:r>
      <w:r w:rsidRPr="00562666">
        <w:rPr>
          <w:rFonts w:ascii="Arial" w:hAnsi="Arial" w:cs="Arial"/>
          <w:sz w:val="24"/>
          <w:szCs w:val="24"/>
        </w:rPr>
        <w:t xml:space="preserve">na ruptura de la equidad entre </w:t>
      </w:r>
      <w:r w:rsidR="003C43EB">
        <w:rPr>
          <w:rFonts w:ascii="Arial" w:hAnsi="Arial" w:cs="Arial"/>
          <w:sz w:val="24"/>
          <w:szCs w:val="24"/>
        </w:rPr>
        <w:t>médicos y facultativos ya que esto</w:t>
      </w:r>
      <w:r w:rsidR="00AA5199">
        <w:rPr>
          <w:rFonts w:ascii="Arial" w:hAnsi="Arial" w:cs="Arial"/>
          <w:sz w:val="24"/>
          <w:szCs w:val="24"/>
        </w:rPr>
        <w:t xml:space="preserve"> no ocurre en el ámbito hospitalario. </w:t>
      </w:r>
      <w:r w:rsidR="00477D7F">
        <w:rPr>
          <w:rFonts w:ascii="Arial" w:hAnsi="Arial" w:cs="Arial"/>
          <w:sz w:val="24"/>
          <w:szCs w:val="24"/>
        </w:rPr>
        <w:t>Queremos recordar que estos índices no están proporcionados porque</w:t>
      </w:r>
      <w:r w:rsidR="00F328D0">
        <w:rPr>
          <w:rFonts w:ascii="Arial" w:hAnsi="Arial" w:cs="Arial"/>
          <w:sz w:val="24"/>
          <w:szCs w:val="24"/>
        </w:rPr>
        <w:t>, en su día,</w:t>
      </w:r>
      <w:r w:rsidR="00477D7F">
        <w:rPr>
          <w:rFonts w:ascii="Arial" w:hAnsi="Arial" w:cs="Arial"/>
          <w:sz w:val="24"/>
          <w:szCs w:val="24"/>
        </w:rPr>
        <w:t xml:space="preserve"> se incluyó la PV</w:t>
      </w:r>
      <w:r w:rsidR="00520CA0">
        <w:rPr>
          <w:rFonts w:ascii="Arial" w:hAnsi="Arial" w:cs="Arial"/>
          <w:sz w:val="24"/>
          <w:szCs w:val="24"/>
        </w:rPr>
        <w:t xml:space="preserve"> correspondiente al Uso Racional del Medicamento destinado exclusivamente a facultativos en la PV anual.</w:t>
      </w:r>
    </w:p>
    <w:p w14:paraId="68E0DBCC" w14:textId="19E22239" w:rsidR="00562666" w:rsidRPr="00562666" w:rsidRDefault="00562666" w:rsidP="00AA5199">
      <w:pPr>
        <w:ind w:firstLine="708"/>
        <w:jc w:val="both"/>
        <w:rPr>
          <w:rFonts w:ascii="Arial" w:hAnsi="Arial" w:cs="Arial"/>
          <w:sz w:val="24"/>
          <w:szCs w:val="24"/>
        </w:rPr>
      </w:pPr>
      <w:r w:rsidRPr="00562666">
        <w:rPr>
          <w:rFonts w:ascii="Arial" w:hAnsi="Arial" w:cs="Arial"/>
          <w:sz w:val="24"/>
          <w:szCs w:val="24"/>
        </w:rPr>
        <w:t xml:space="preserve">Cuarto. – Que resulta especialmente grave que se haya trasladado a los Equipos de Atención Primaria la posibilidad de votar propuestas alternativas de reparto, cuando se trata de una materia estrictamente retributiva, </w:t>
      </w:r>
      <w:r w:rsidR="00AA5199">
        <w:rPr>
          <w:rFonts w:ascii="Arial" w:hAnsi="Arial" w:cs="Arial"/>
          <w:sz w:val="24"/>
          <w:szCs w:val="24"/>
        </w:rPr>
        <w:t>lo que genera numerosos</w:t>
      </w:r>
      <w:r w:rsidR="00AA5199" w:rsidRPr="00AA5199">
        <w:rPr>
          <w:rFonts w:ascii="Arial" w:hAnsi="Arial" w:cs="Arial"/>
          <w:sz w:val="24"/>
          <w:szCs w:val="24"/>
        </w:rPr>
        <w:t xml:space="preserve"> conflictos internos en los equipos</w:t>
      </w:r>
      <w:r w:rsidR="00AA5199">
        <w:rPr>
          <w:rFonts w:ascii="Arial" w:hAnsi="Arial" w:cs="Arial"/>
          <w:sz w:val="24"/>
          <w:szCs w:val="24"/>
        </w:rPr>
        <w:t>.</w:t>
      </w:r>
    </w:p>
    <w:p w14:paraId="3BCDE95A" w14:textId="49F73355" w:rsidR="00562666" w:rsidRPr="00562666" w:rsidRDefault="00562666" w:rsidP="00F8378F">
      <w:pPr>
        <w:ind w:firstLine="708"/>
        <w:jc w:val="both"/>
        <w:rPr>
          <w:rFonts w:ascii="Arial" w:hAnsi="Arial" w:cs="Arial"/>
          <w:sz w:val="24"/>
          <w:szCs w:val="24"/>
        </w:rPr>
      </w:pPr>
      <w:r w:rsidRPr="00562666">
        <w:rPr>
          <w:rFonts w:ascii="Arial" w:hAnsi="Arial" w:cs="Arial"/>
          <w:sz w:val="24"/>
          <w:szCs w:val="24"/>
        </w:rPr>
        <w:t xml:space="preserve">Quinto. – Que, bajo la cobertura del Acuerdo de Gestión, se están incorporando criterios de evaluación </w:t>
      </w:r>
      <w:r w:rsidR="003C43EB">
        <w:rPr>
          <w:rFonts w:ascii="Arial" w:hAnsi="Arial" w:cs="Arial"/>
          <w:sz w:val="24"/>
          <w:szCs w:val="24"/>
        </w:rPr>
        <w:t>inaceptables</w:t>
      </w:r>
      <w:r w:rsidR="00F8378F">
        <w:rPr>
          <w:rFonts w:ascii="Arial" w:hAnsi="Arial" w:cs="Arial"/>
          <w:sz w:val="24"/>
          <w:szCs w:val="24"/>
        </w:rPr>
        <w:t>.</w:t>
      </w:r>
      <w:r w:rsidRPr="00562666">
        <w:rPr>
          <w:rFonts w:ascii="Arial" w:hAnsi="Arial" w:cs="Arial"/>
          <w:sz w:val="24"/>
          <w:szCs w:val="24"/>
        </w:rPr>
        <w:t xml:space="preserve"> En concreto, se están utilizando como elementos de valoración:</w:t>
      </w:r>
    </w:p>
    <w:p w14:paraId="2C333370" w14:textId="22D98CCA" w:rsidR="00562666" w:rsidRPr="00F8378F" w:rsidRDefault="00562666" w:rsidP="00F8378F">
      <w:pPr>
        <w:pStyle w:val="Prrafodelista"/>
        <w:numPr>
          <w:ilvl w:val="0"/>
          <w:numId w:val="2"/>
        </w:numPr>
        <w:jc w:val="both"/>
        <w:rPr>
          <w:rFonts w:ascii="Arial" w:hAnsi="Arial" w:cs="Arial"/>
          <w:sz w:val="24"/>
          <w:szCs w:val="24"/>
        </w:rPr>
      </w:pPr>
      <w:r w:rsidRPr="00F8378F">
        <w:rPr>
          <w:rFonts w:ascii="Arial" w:hAnsi="Arial" w:cs="Arial"/>
          <w:sz w:val="24"/>
          <w:szCs w:val="24"/>
        </w:rPr>
        <w:t>La Incapacidad Temporal (IT)</w:t>
      </w:r>
      <w:r w:rsidR="00F8378F" w:rsidRPr="00F8378F">
        <w:rPr>
          <w:rFonts w:ascii="Arial" w:hAnsi="Arial" w:cs="Arial"/>
          <w:sz w:val="24"/>
          <w:szCs w:val="24"/>
        </w:rPr>
        <w:t>:</w:t>
      </w:r>
    </w:p>
    <w:p w14:paraId="52E163E7" w14:textId="1C2F8782" w:rsidR="003C43EB" w:rsidRPr="00F8378F" w:rsidRDefault="003C43EB" w:rsidP="00F8378F">
      <w:pPr>
        <w:pStyle w:val="Prrafodelista"/>
        <w:numPr>
          <w:ilvl w:val="0"/>
          <w:numId w:val="3"/>
        </w:numPr>
        <w:jc w:val="both"/>
        <w:rPr>
          <w:rFonts w:ascii="Arial" w:hAnsi="Arial" w:cs="Arial"/>
          <w:sz w:val="24"/>
          <w:szCs w:val="24"/>
        </w:rPr>
      </w:pPr>
      <w:r w:rsidRPr="00F8378F">
        <w:rPr>
          <w:rFonts w:ascii="Arial" w:hAnsi="Arial" w:cs="Arial"/>
          <w:sz w:val="24"/>
          <w:szCs w:val="24"/>
        </w:rPr>
        <w:t>Días consumidos en IT por asegurado activo</w:t>
      </w:r>
    </w:p>
    <w:p w14:paraId="666E42B1" w14:textId="24790435" w:rsidR="003C43EB" w:rsidRPr="00F8378F" w:rsidRDefault="003C43EB" w:rsidP="00F8378F">
      <w:pPr>
        <w:pStyle w:val="Prrafodelista"/>
        <w:numPr>
          <w:ilvl w:val="0"/>
          <w:numId w:val="3"/>
        </w:numPr>
        <w:jc w:val="both"/>
        <w:rPr>
          <w:rFonts w:ascii="Arial" w:hAnsi="Arial" w:cs="Arial"/>
          <w:sz w:val="24"/>
          <w:szCs w:val="24"/>
        </w:rPr>
      </w:pPr>
      <w:r w:rsidRPr="00F8378F">
        <w:rPr>
          <w:rFonts w:ascii="Arial" w:hAnsi="Arial" w:cs="Arial"/>
          <w:sz w:val="24"/>
          <w:szCs w:val="24"/>
        </w:rPr>
        <w:t>Porcentaje de propuestas de alta de las mutuas aceptadas</w:t>
      </w:r>
    </w:p>
    <w:p w14:paraId="38E05D4E" w14:textId="0F99E995" w:rsidR="00F8378F" w:rsidRDefault="007D0B38" w:rsidP="00AE1E65">
      <w:pPr>
        <w:ind w:left="708"/>
        <w:jc w:val="both"/>
        <w:rPr>
          <w:rFonts w:ascii="Arial" w:hAnsi="Arial" w:cs="Arial"/>
          <w:sz w:val="24"/>
          <w:szCs w:val="24"/>
        </w:rPr>
      </w:pPr>
      <w:r>
        <w:rPr>
          <w:rFonts w:ascii="Arial" w:hAnsi="Arial" w:cs="Arial"/>
          <w:sz w:val="24"/>
          <w:szCs w:val="24"/>
        </w:rPr>
        <w:t>C</w:t>
      </w:r>
      <w:r w:rsidR="00F5454C" w:rsidRPr="00F5454C">
        <w:rPr>
          <w:rFonts w:ascii="Arial" w:hAnsi="Arial" w:cs="Arial"/>
          <w:sz w:val="24"/>
          <w:szCs w:val="24"/>
        </w:rPr>
        <w:t>onsider</w:t>
      </w:r>
      <w:r>
        <w:rPr>
          <w:rFonts w:ascii="Arial" w:hAnsi="Arial" w:cs="Arial"/>
          <w:sz w:val="24"/>
          <w:szCs w:val="24"/>
        </w:rPr>
        <w:t>o</w:t>
      </w:r>
      <w:r w:rsidR="00F5454C" w:rsidRPr="00F5454C">
        <w:rPr>
          <w:rFonts w:ascii="Arial" w:hAnsi="Arial" w:cs="Arial"/>
          <w:sz w:val="24"/>
          <w:szCs w:val="24"/>
        </w:rPr>
        <w:t xml:space="preserve"> que introduce un elemento de presión improcedente en la práctica clínica y pone en cuestión la profesionalidad de los médicos de Atención Primaria.</w:t>
      </w:r>
    </w:p>
    <w:p w14:paraId="0A1CBDEC" w14:textId="372EC398" w:rsidR="00562666" w:rsidRPr="00080141" w:rsidRDefault="00AE1E65" w:rsidP="00562666">
      <w:pPr>
        <w:pStyle w:val="Prrafodelista"/>
        <w:numPr>
          <w:ilvl w:val="0"/>
          <w:numId w:val="2"/>
        </w:numPr>
        <w:jc w:val="both"/>
        <w:rPr>
          <w:rFonts w:ascii="Arial" w:hAnsi="Arial" w:cs="Arial"/>
          <w:sz w:val="24"/>
          <w:szCs w:val="24"/>
        </w:rPr>
      </w:pPr>
      <w:r w:rsidRPr="00080141">
        <w:rPr>
          <w:rFonts w:ascii="Arial" w:hAnsi="Arial" w:cs="Arial"/>
          <w:sz w:val="24"/>
          <w:szCs w:val="24"/>
        </w:rPr>
        <w:lastRenderedPageBreak/>
        <w:t xml:space="preserve">Bolsa de días consultas de apoyo. Este tipo de consultas, recogidas en la Orden SAN/448/2023 (BOA 18/04/2023) se crearon como opción para absorber </w:t>
      </w:r>
      <w:r w:rsidR="00477D7F" w:rsidRPr="00080141">
        <w:rPr>
          <w:rFonts w:ascii="Arial" w:hAnsi="Arial" w:cs="Arial"/>
          <w:sz w:val="24"/>
          <w:szCs w:val="24"/>
        </w:rPr>
        <w:t>la demanda a partir del paciente 36 para médicos de familia y 29 para pediatría (en situaciones en que la disponibilidad en la citación superara las 72h). Incentivar no sobrepasar el número de consultas de apoyo en los límites establecidos para cada centro, supone presionar a los profesionales para superar el número de pacientes máximos previstos en una agenda diaria</w:t>
      </w:r>
      <w:r w:rsidR="00F328D0" w:rsidRPr="00080141">
        <w:rPr>
          <w:rFonts w:ascii="Arial" w:hAnsi="Arial" w:cs="Arial"/>
          <w:sz w:val="24"/>
          <w:szCs w:val="24"/>
        </w:rPr>
        <w:t xml:space="preserve"> u ocasionar un problema para los usuarios si no encuentran disponibilidad en su cita médica.</w:t>
      </w:r>
      <w:r w:rsidR="007D0B38" w:rsidRPr="00080141">
        <w:rPr>
          <w:rFonts w:ascii="Arial" w:hAnsi="Arial" w:cs="Arial"/>
          <w:sz w:val="24"/>
          <w:szCs w:val="24"/>
        </w:rPr>
        <w:t xml:space="preserve"> </w:t>
      </w:r>
    </w:p>
    <w:p w14:paraId="2FB97FAE" w14:textId="77777777" w:rsidR="00080141" w:rsidRDefault="00080141" w:rsidP="00562666">
      <w:pPr>
        <w:jc w:val="both"/>
        <w:rPr>
          <w:rFonts w:ascii="Arial" w:hAnsi="Arial" w:cs="Arial"/>
          <w:sz w:val="24"/>
          <w:szCs w:val="24"/>
        </w:rPr>
      </w:pPr>
    </w:p>
    <w:p w14:paraId="0BAEB7F7" w14:textId="213CACAF" w:rsidR="00562666" w:rsidRPr="00562666" w:rsidRDefault="00562666" w:rsidP="00562666">
      <w:pPr>
        <w:jc w:val="both"/>
        <w:rPr>
          <w:rFonts w:ascii="Arial" w:hAnsi="Arial" w:cs="Arial"/>
          <w:sz w:val="24"/>
          <w:szCs w:val="24"/>
        </w:rPr>
      </w:pPr>
      <w:r w:rsidRPr="00562666">
        <w:rPr>
          <w:rFonts w:ascii="Arial" w:hAnsi="Arial" w:cs="Arial"/>
          <w:sz w:val="24"/>
          <w:szCs w:val="24"/>
        </w:rPr>
        <w:t>SOLICITA:</w:t>
      </w:r>
    </w:p>
    <w:p w14:paraId="1188368E" w14:textId="77777777" w:rsidR="00562666" w:rsidRPr="00F328D0" w:rsidRDefault="00562666" w:rsidP="00F328D0">
      <w:pPr>
        <w:pStyle w:val="Prrafodelista"/>
        <w:numPr>
          <w:ilvl w:val="0"/>
          <w:numId w:val="4"/>
        </w:numPr>
        <w:jc w:val="both"/>
        <w:rPr>
          <w:rFonts w:ascii="Arial" w:hAnsi="Arial" w:cs="Arial"/>
          <w:sz w:val="24"/>
          <w:szCs w:val="24"/>
        </w:rPr>
      </w:pPr>
      <w:r w:rsidRPr="00F328D0">
        <w:rPr>
          <w:rFonts w:ascii="Arial" w:hAnsi="Arial" w:cs="Arial"/>
          <w:sz w:val="24"/>
          <w:szCs w:val="24"/>
        </w:rPr>
        <w:t>Que se proceda de manera inmediata a la anulación de cualquier criterio de reparto de la Productividad Variable que no se ajuste a los índices aprobados por el Departamento de Sanidad.</w:t>
      </w:r>
    </w:p>
    <w:p w14:paraId="499629CE" w14:textId="1FEE62BB" w:rsidR="00562666" w:rsidRPr="00F328D0" w:rsidRDefault="00562666" w:rsidP="00F328D0">
      <w:pPr>
        <w:pStyle w:val="Prrafodelista"/>
        <w:numPr>
          <w:ilvl w:val="0"/>
          <w:numId w:val="4"/>
        </w:numPr>
        <w:jc w:val="both"/>
        <w:rPr>
          <w:rFonts w:ascii="Arial" w:hAnsi="Arial" w:cs="Arial"/>
          <w:sz w:val="24"/>
          <w:szCs w:val="24"/>
        </w:rPr>
      </w:pPr>
      <w:r w:rsidRPr="00F328D0">
        <w:rPr>
          <w:rFonts w:ascii="Arial" w:hAnsi="Arial" w:cs="Arial"/>
          <w:sz w:val="24"/>
          <w:szCs w:val="24"/>
        </w:rPr>
        <w:t>Que se eliminen de los Acuerdos de Gestión todos los criterios improcedentes, en particular:</w:t>
      </w:r>
      <w:r w:rsidR="00520CA0" w:rsidRPr="00F328D0">
        <w:rPr>
          <w:rFonts w:ascii="Arial" w:hAnsi="Arial" w:cs="Arial"/>
          <w:sz w:val="24"/>
          <w:szCs w:val="24"/>
        </w:rPr>
        <w:t xml:space="preserve"> l</w:t>
      </w:r>
      <w:r w:rsidRPr="00F328D0">
        <w:rPr>
          <w:rFonts w:ascii="Arial" w:hAnsi="Arial" w:cs="Arial"/>
          <w:sz w:val="24"/>
          <w:szCs w:val="24"/>
        </w:rPr>
        <w:t>a consideración de la Incapacidad Temporal</w:t>
      </w:r>
      <w:r w:rsidR="00520CA0" w:rsidRPr="00F328D0">
        <w:rPr>
          <w:rFonts w:ascii="Arial" w:hAnsi="Arial" w:cs="Arial"/>
          <w:sz w:val="24"/>
          <w:szCs w:val="24"/>
        </w:rPr>
        <w:t xml:space="preserve"> y el límite en </w:t>
      </w:r>
      <w:r w:rsidRPr="00F328D0">
        <w:rPr>
          <w:rFonts w:ascii="Arial" w:hAnsi="Arial" w:cs="Arial"/>
          <w:sz w:val="24"/>
          <w:szCs w:val="24"/>
        </w:rPr>
        <w:t>las consultas de apoyo</w:t>
      </w:r>
    </w:p>
    <w:p w14:paraId="20CE92E3" w14:textId="351EBB15" w:rsidR="00562666" w:rsidRPr="00F328D0" w:rsidRDefault="00562666" w:rsidP="00F328D0">
      <w:pPr>
        <w:pStyle w:val="Prrafodelista"/>
        <w:numPr>
          <w:ilvl w:val="0"/>
          <w:numId w:val="4"/>
        </w:numPr>
        <w:jc w:val="both"/>
        <w:rPr>
          <w:rFonts w:ascii="Arial" w:hAnsi="Arial" w:cs="Arial"/>
          <w:sz w:val="24"/>
          <w:szCs w:val="24"/>
        </w:rPr>
      </w:pPr>
      <w:r w:rsidRPr="00F328D0">
        <w:rPr>
          <w:rFonts w:ascii="Arial" w:hAnsi="Arial" w:cs="Arial"/>
          <w:sz w:val="24"/>
          <w:szCs w:val="24"/>
        </w:rPr>
        <w:t>Que se deje sin efecto cualquier mecanismo de votación interna sobre materias retributivas</w:t>
      </w:r>
      <w:r w:rsidR="00520CA0" w:rsidRPr="00F328D0">
        <w:rPr>
          <w:rFonts w:ascii="Arial" w:hAnsi="Arial" w:cs="Arial"/>
          <w:sz w:val="24"/>
          <w:szCs w:val="24"/>
        </w:rPr>
        <w:t>.</w:t>
      </w:r>
    </w:p>
    <w:p w14:paraId="47472A53" w14:textId="77777777" w:rsidR="007D0B38" w:rsidRPr="00F328D0" w:rsidRDefault="007D0B38" w:rsidP="007D0B38">
      <w:pPr>
        <w:pStyle w:val="Prrafodelista"/>
        <w:jc w:val="both"/>
        <w:rPr>
          <w:rFonts w:ascii="Arial" w:hAnsi="Arial" w:cs="Arial"/>
          <w:sz w:val="24"/>
          <w:szCs w:val="24"/>
        </w:rPr>
      </w:pPr>
    </w:p>
    <w:p w14:paraId="6FF31A2E" w14:textId="27660833" w:rsidR="00893C69" w:rsidRDefault="0040333A" w:rsidP="00893C69">
      <w:pPr>
        <w:jc w:val="both"/>
        <w:rPr>
          <w:rFonts w:ascii="Arial" w:hAnsi="Arial" w:cs="Arial"/>
          <w:sz w:val="24"/>
          <w:szCs w:val="24"/>
        </w:rPr>
      </w:pPr>
      <w:r>
        <w:rPr>
          <w:rFonts w:ascii="Arial" w:hAnsi="Arial" w:cs="Arial"/>
          <w:sz w:val="24"/>
          <w:szCs w:val="24"/>
        </w:rPr>
        <w:t>__________</w:t>
      </w:r>
      <w:r w:rsidR="00893C69">
        <w:rPr>
          <w:rFonts w:ascii="Arial" w:hAnsi="Arial" w:cs="Arial"/>
          <w:sz w:val="24"/>
          <w:szCs w:val="24"/>
        </w:rPr>
        <w:t xml:space="preserve">, </w:t>
      </w:r>
      <w:r>
        <w:rPr>
          <w:rFonts w:ascii="Arial" w:hAnsi="Arial" w:cs="Arial"/>
          <w:sz w:val="24"/>
          <w:szCs w:val="24"/>
        </w:rPr>
        <w:t>__</w:t>
      </w:r>
      <w:r w:rsidR="00893C69">
        <w:rPr>
          <w:rFonts w:ascii="Arial" w:hAnsi="Arial" w:cs="Arial"/>
          <w:sz w:val="24"/>
          <w:szCs w:val="24"/>
        </w:rPr>
        <w:t xml:space="preserve"> de </w:t>
      </w:r>
      <w:r w:rsidR="00562666">
        <w:rPr>
          <w:rFonts w:ascii="Arial" w:hAnsi="Arial" w:cs="Arial"/>
          <w:sz w:val="24"/>
          <w:szCs w:val="24"/>
        </w:rPr>
        <w:t>abril</w:t>
      </w:r>
      <w:r w:rsidR="00893C69">
        <w:rPr>
          <w:rFonts w:ascii="Arial" w:hAnsi="Arial" w:cs="Arial"/>
          <w:sz w:val="24"/>
          <w:szCs w:val="24"/>
        </w:rPr>
        <w:t xml:space="preserve"> de 202</w:t>
      </w:r>
      <w:r w:rsidR="00562666">
        <w:rPr>
          <w:rFonts w:ascii="Arial" w:hAnsi="Arial" w:cs="Arial"/>
          <w:sz w:val="24"/>
          <w:szCs w:val="24"/>
        </w:rPr>
        <w:t>6</w:t>
      </w:r>
    </w:p>
    <w:p w14:paraId="5C40550A" w14:textId="102F7F7B" w:rsidR="00893C69" w:rsidRDefault="00893C69" w:rsidP="00893C69">
      <w:pPr>
        <w:jc w:val="both"/>
        <w:rPr>
          <w:rFonts w:ascii="Arial" w:hAnsi="Arial" w:cs="Arial"/>
          <w:sz w:val="24"/>
          <w:szCs w:val="24"/>
        </w:rPr>
      </w:pPr>
    </w:p>
    <w:p w14:paraId="093A568C" w14:textId="77777777" w:rsidR="007D0B38" w:rsidRDefault="007D0B38" w:rsidP="00893C69">
      <w:pPr>
        <w:jc w:val="both"/>
        <w:rPr>
          <w:rFonts w:ascii="Arial" w:hAnsi="Arial" w:cs="Arial"/>
          <w:sz w:val="24"/>
          <w:szCs w:val="24"/>
        </w:rPr>
      </w:pPr>
    </w:p>
    <w:p w14:paraId="056C55A1" w14:textId="77777777" w:rsidR="007D0B38" w:rsidRDefault="007D0B38" w:rsidP="00893C69">
      <w:pPr>
        <w:jc w:val="both"/>
        <w:rPr>
          <w:rFonts w:ascii="Arial" w:hAnsi="Arial" w:cs="Arial"/>
          <w:sz w:val="24"/>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036"/>
        <w:gridCol w:w="3038"/>
      </w:tblGrid>
      <w:tr w:rsidR="00893C69" w:rsidRPr="00893C69" w14:paraId="76F701EA" w14:textId="77777777" w:rsidTr="00893C69">
        <w:tc>
          <w:tcPr>
            <w:tcW w:w="2993" w:type="dxa"/>
          </w:tcPr>
          <w:p w14:paraId="2B0B4410" w14:textId="77777777" w:rsidR="00893C69" w:rsidRPr="00893C69" w:rsidRDefault="00893C69" w:rsidP="00893C69">
            <w:pPr>
              <w:tabs>
                <w:tab w:val="left" w:pos="216"/>
                <w:tab w:val="left" w:pos="288"/>
              </w:tabs>
              <w:spacing w:after="0" w:line="240" w:lineRule="auto"/>
              <w:jc w:val="right"/>
              <w:textAlignment w:val="baseline"/>
              <w:rPr>
                <w:rFonts w:ascii="Times New Roman" w:eastAsia="Arial" w:hAnsi="Times New Roman" w:cs="Times New Roman"/>
                <w:bCs/>
                <w:sz w:val="24"/>
                <w:szCs w:val="24"/>
              </w:rPr>
            </w:pPr>
          </w:p>
        </w:tc>
        <w:tc>
          <w:tcPr>
            <w:tcW w:w="3036" w:type="dxa"/>
          </w:tcPr>
          <w:p w14:paraId="6A3EF513" w14:textId="77777777" w:rsidR="00893C69" w:rsidRPr="00893C69" w:rsidRDefault="00893C69" w:rsidP="00893C69">
            <w:pPr>
              <w:tabs>
                <w:tab w:val="left" w:pos="216"/>
                <w:tab w:val="left" w:pos="288"/>
              </w:tabs>
              <w:spacing w:after="0" w:line="240" w:lineRule="auto"/>
              <w:textAlignment w:val="baseline"/>
              <w:rPr>
                <w:rFonts w:ascii="Times New Roman" w:eastAsia="Arial" w:hAnsi="Times New Roman" w:cs="Times New Roman"/>
                <w:bCs/>
                <w:sz w:val="24"/>
                <w:szCs w:val="24"/>
              </w:rPr>
            </w:pPr>
          </w:p>
        </w:tc>
        <w:tc>
          <w:tcPr>
            <w:tcW w:w="3038" w:type="dxa"/>
          </w:tcPr>
          <w:p w14:paraId="0C4CBCE3" w14:textId="10554301" w:rsidR="00893C69" w:rsidRPr="00893C69" w:rsidRDefault="00893C69" w:rsidP="00893C69">
            <w:pPr>
              <w:tabs>
                <w:tab w:val="left" w:pos="216"/>
                <w:tab w:val="left" w:pos="288"/>
              </w:tabs>
              <w:spacing w:after="0" w:line="240" w:lineRule="auto"/>
              <w:jc w:val="right"/>
              <w:textAlignment w:val="baseline"/>
              <w:rPr>
                <w:rFonts w:ascii="Times New Roman" w:eastAsia="Arial" w:hAnsi="Times New Roman" w:cs="Times New Roman"/>
                <w:bCs/>
                <w:sz w:val="24"/>
                <w:szCs w:val="24"/>
              </w:rPr>
            </w:pPr>
          </w:p>
        </w:tc>
      </w:tr>
      <w:tr w:rsidR="00893C69" w:rsidRPr="00893C69" w14:paraId="6C87103F" w14:textId="77777777" w:rsidTr="00893C69">
        <w:tc>
          <w:tcPr>
            <w:tcW w:w="2993" w:type="dxa"/>
          </w:tcPr>
          <w:p w14:paraId="7D1169B6" w14:textId="77777777" w:rsidR="00893C69" w:rsidRPr="00893C69" w:rsidRDefault="00893C69" w:rsidP="00893C69">
            <w:pPr>
              <w:spacing w:after="0" w:line="259" w:lineRule="auto"/>
              <w:rPr>
                <w:rFonts w:ascii="Arial" w:hAnsi="Arial" w:cs="Arial"/>
                <w:sz w:val="24"/>
                <w:szCs w:val="24"/>
              </w:rPr>
            </w:pPr>
          </w:p>
        </w:tc>
        <w:tc>
          <w:tcPr>
            <w:tcW w:w="3036" w:type="dxa"/>
          </w:tcPr>
          <w:p w14:paraId="20116720" w14:textId="77777777" w:rsidR="00893C69" w:rsidRPr="00893C69" w:rsidRDefault="00893C69" w:rsidP="00893C69">
            <w:pPr>
              <w:tabs>
                <w:tab w:val="left" w:pos="216"/>
                <w:tab w:val="left" w:pos="288"/>
              </w:tabs>
              <w:spacing w:after="0" w:line="240" w:lineRule="auto"/>
              <w:textAlignment w:val="baseline"/>
              <w:rPr>
                <w:rFonts w:ascii="Arial" w:eastAsia="Arial" w:hAnsi="Arial" w:cs="Arial"/>
                <w:bCs/>
                <w:sz w:val="24"/>
                <w:szCs w:val="24"/>
              </w:rPr>
            </w:pPr>
          </w:p>
        </w:tc>
        <w:tc>
          <w:tcPr>
            <w:tcW w:w="3038" w:type="dxa"/>
          </w:tcPr>
          <w:p w14:paraId="56AE01C7" w14:textId="1287CF54" w:rsidR="00893C69" w:rsidRPr="00893C69" w:rsidRDefault="0040333A" w:rsidP="00893C69">
            <w:pPr>
              <w:tabs>
                <w:tab w:val="left" w:pos="216"/>
                <w:tab w:val="left" w:pos="288"/>
              </w:tabs>
              <w:spacing w:after="0" w:line="240" w:lineRule="auto"/>
              <w:jc w:val="center"/>
              <w:textAlignment w:val="baseline"/>
              <w:rPr>
                <w:rFonts w:ascii="Arial" w:eastAsia="Arial" w:hAnsi="Arial" w:cs="Arial"/>
                <w:bCs/>
                <w:sz w:val="24"/>
                <w:szCs w:val="24"/>
              </w:rPr>
            </w:pPr>
            <w:r>
              <w:rPr>
                <w:rFonts w:ascii="Arial" w:eastAsia="Arial" w:hAnsi="Arial" w:cs="Arial"/>
                <w:bCs/>
                <w:sz w:val="24"/>
                <w:szCs w:val="24"/>
              </w:rPr>
              <w:t>Firma</w:t>
            </w:r>
          </w:p>
        </w:tc>
      </w:tr>
      <w:tr w:rsidR="00893C69" w:rsidRPr="00893C69" w14:paraId="396F85CC" w14:textId="77777777" w:rsidTr="00893C69">
        <w:tc>
          <w:tcPr>
            <w:tcW w:w="2993" w:type="dxa"/>
          </w:tcPr>
          <w:p w14:paraId="148742BE" w14:textId="77777777" w:rsidR="00893C69" w:rsidRPr="00893C69" w:rsidRDefault="00893C69" w:rsidP="00893C69">
            <w:pPr>
              <w:tabs>
                <w:tab w:val="left" w:pos="216"/>
                <w:tab w:val="left" w:pos="288"/>
              </w:tabs>
              <w:spacing w:after="0" w:line="240" w:lineRule="auto"/>
              <w:jc w:val="center"/>
              <w:textAlignment w:val="baseline"/>
              <w:rPr>
                <w:rFonts w:ascii="Arial" w:eastAsia="Arial" w:hAnsi="Arial" w:cs="Arial"/>
                <w:bCs/>
                <w:sz w:val="24"/>
                <w:szCs w:val="24"/>
              </w:rPr>
            </w:pPr>
          </w:p>
        </w:tc>
        <w:tc>
          <w:tcPr>
            <w:tcW w:w="3036" w:type="dxa"/>
          </w:tcPr>
          <w:p w14:paraId="24181E42" w14:textId="77777777" w:rsidR="00893C69" w:rsidRPr="00893C69" w:rsidRDefault="00893C69" w:rsidP="00893C69">
            <w:pPr>
              <w:spacing w:after="0" w:line="240" w:lineRule="auto"/>
              <w:jc w:val="center"/>
              <w:textAlignment w:val="baseline"/>
              <w:rPr>
                <w:rFonts w:ascii="Arial" w:eastAsia="Arial" w:hAnsi="Arial" w:cs="Arial"/>
                <w:bCs/>
                <w:sz w:val="24"/>
                <w:szCs w:val="24"/>
              </w:rPr>
            </w:pPr>
          </w:p>
        </w:tc>
        <w:tc>
          <w:tcPr>
            <w:tcW w:w="3038" w:type="dxa"/>
          </w:tcPr>
          <w:p w14:paraId="5875C766" w14:textId="7F29889A" w:rsidR="00893C69" w:rsidRPr="00893C69" w:rsidRDefault="00893C69" w:rsidP="00893C69">
            <w:pPr>
              <w:spacing w:after="0" w:line="240" w:lineRule="auto"/>
              <w:jc w:val="center"/>
              <w:textAlignment w:val="baseline"/>
              <w:rPr>
                <w:rFonts w:ascii="Arial" w:eastAsia="Arial" w:hAnsi="Arial" w:cs="Arial"/>
                <w:bCs/>
                <w:sz w:val="24"/>
                <w:szCs w:val="24"/>
              </w:rPr>
            </w:pPr>
          </w:p>
        </w:tc>
      </w:tr>
      <w:tr w:rsidR="007D0B38" w:rsidRPr="00893C69" w14:paraId="310AA0D2" w14:textId="77777777" w:rsidTr="00893C69">
        <w:tc>
          <w:tcPr>
            <w:tcW w:w="2993" w:type="dxa"/>
          </w:tcPr>
          <w:p w14:paraId="2E1D71C7" w14:textId="77777777" w:rsidR="007D0B38" w:rsidRPr="00893C69" w:rsidRDefault="007D0B38" w:rsidP="00893C69">
            <w:pPr>
              <w:tabs>
                <w:tab w:val="left" w:pos="216"/>
                <w:tab w:val="left" w:pos="288"/>
              </w:tabs>
              <w:spacing w:after="0" w:line="240" w:lineRule="auto"/>
              <w:jc w:val="center"/>
              <w:textAlignment w:val="baseline"/>
              <w:rPr>
                <w:rFonts w:ascii="Arial" w:eastAsia="Arial" w:hAnsi="Arial" w:cs="Arial"/>
                <w:bCs/>
                <w:sz w:val="24"/>
                <w:szCs w:val="24"/>
              </w:rPr>
            </w:pPr>
          </w:p>
        </w:tc>
        <w:tc>
          <w:tcPr>
            <w:tcW w:w="3036" w:type="dxa"/>
          </w:tcPr>
          <w:p w14:paraId="3AA2BA55" w14:textId="77777777" w:rsidR="007D0B38" w:rsidRPr="00893C69" w:rsidRDefault="007D0B38" w:rsidP="00893C69">
            <w:pPr>
              <w:spacing w:after="0" w:line="240" w:lineRule="auto"/>
              <w:jc w:val="center"/>
              <w:textAlignment w:val="baseline"/>
              <w:rPr>
                <w:rFonts w:ascii="Arial" w:eastAsia="Arial" w:hAnsi="Arial" w:cs="Arial"/>
                <w:bCs/>
                <w:sz w:val="24"/>
                <w:szCs w:val="24"/>
              </w:rPr>
            </w:pPr>
          </w:p>
        </w:tc>
        <w:tc>
          <w:tcPr>
            <w:tcW w:w="3038" w:type="dxa"/>
          </w:tcPr>
          <w:p w14:paraId="0FD31CF5" w14:textId="77777777" w:rsidR="007D0B38" w:rsidRPr="00893C69" w:rsidRDefault="007D0B38" w:rsidP="00893C69">
            <w:pPr>
              <w:spacing w:after="0" w:line="240" w:lineRule="auto"/>
              <w:jc w:val="center"/>
              <w:textAlignment w:val="baseline"/>
              <w:rPr>
                <w:rFonts w:ascii="Arial" w:eastAsia="Arial" w:hAnsi="Arial" w:cs="Arial"/>
                <w:bCs/>
                <w:sz w:val="24"/>
                <w:szCs w:val="24"/>
              </w:rPr>
            </w:pPr>
          </w:p>
        </w:tc>
      </w:tr>
    </w:tbl>
    <w:p w14:paraId="46F7975C" w14:textId="77777777" w:rsidR="007D0B38" w:rsidRDefault="007D0B38" w:rsidP="00A01E77">
      <w:pPr>
        <w:rPr>
          <w:rFonts w:ascii="Arial" w:hAnsi="Arial" w:cs="Arial"/>
          <w:sz w:val="24"/>
          <w:szCs w:val="24"/>
        </w:rPr>
      </w:pPr>
    </w:p>
    <w:p w14:paraId="07607FA6" w14:textId="7FC86C81" w:rsidR="0040333A" w:rsidRDefault="00A01E77" w:rsidP="00A01E77">
      <w:pPr>
        <w:rPr>
          <w:rFonts w:ascii="Arial" w:hAnsi="Arial" w:cs="Arial"/>
          <w:sz w:val="24"/>
          <w:szCs w:val="24"/>
        </w:rPr>
      </w:pPr>
      <w:r>
        <w:rPr>
          <w:rFonts w:ascii="Arial" w:hAnsi="Arial" w:cs="Arial"/>
          <w:sz w:val="24"/>
          <w:szCs w:val="24"/>
        </w:rPr>
        <w:t xml:space="preserve">GERENTE DEL </w:t>
      </w:r>
      <w:r w:rsidR="0040333A">
        <w:rPr>
          <w:rFonts w:ascii="Arial" w:hAnsi="Arial" w:cs="Arial"/>
          <w:sz w:val="24"/>
          <w:szCs w:val="24"/>
        </w:rPr>
        <w:t>SECTOR _________________</w:t>
      </w:r>
    </w:p>
    <w:p w14:paraId="03E09A36" w14:textId="7B084589" w:rsidR="00A01E77" w:rsidRPr="00A01E77" w:rsidRDefault="00A01E77" w:rsidP="00A01E77">
      <w:pPr>
        <w:rPr>
          <w:rFonts w:ascii="Arial" w:hAnsi="Arial" w:cs="Arial"/>
          <w:sz w:val="24"/>
          <w:szCs w:val="24"/>
        </w:rPr>
      </w:pPr>
      <w:r>
        <w:rPr>
          <w:rFonts w:ascii="Arial" w:hAnsi="Arial" w:cs="Arial"/>
          <w:sz w:val="24"/>
          <w:szCs w:val="24"/>
        </w:rPr>
        <w:t>SERVICIO ARAGONÉS DE SALUD</w:t>
      </w:r>
    </w:p>
    <w:sectPr w:rsidR="00A01E77" w:rsidRPr="00A01E77" w:rsidSect="007D0B38">
      <w:footerReference w:type="default" r:id="rId7"/>
      <w:pgSz w:w="11906" w:h="16838"/>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8857" w14:textId="77777777" w:rsidR="00E61FD0" w:rsidRDefault="00E61FD0" w:rsidP="008B0288">
      <w:r>
        <w:separator/>
      </w:r>
    </w:p>
  </w:endnote>
  <w:endnote w:type="continuationSeparator" w:id="0">
    <w:p w14:paraId="7A30107A" w14:textId="77777777" w:rsidR="00E61FD0" w:rsidRDefault="00E61FD0" w:rsidP="008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6879" w14:textId="77777777" w:rsidR="00C06AB7" w:rsidRDefault="00C06AB7" w:rsidP="00D65049">
    <w:pPr>
      <w:spacing w:before="60"/>
      <w:jc w:val="center"/>
      <w:rPr>
        <w:rFonts w:ascii="Arial" w:hAnsi="Arial" w:cs="Arial"/>
        <w:b/>
        <w:color w:val="4F6228" w:themeColor="accent3"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A49F" w14:textId="77777777" w:rsidR="00E61FD0" w:rsidRDefault="00E61FD0" w:rsidP="008B0288">
      <w:r>
        <w:separator/>
      </w:r>
    </w:p>
  </w:footnote>
  <w:footnote w:type="continuationSeparator" w:id="0">
    <w:p w14:paraId="0CB54FC1" w14:textId="77777777" w:rsidR="00E61FD0" w:rsidRDefault="00E61FD0" w:rsidP="008B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92C"/>
    <w:multiLevelType w:val="hybridMultilevel"/>
    <w:tmpl w:val="6694D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FA4976"/>
    <w:multiLevelType w:val="hybridMultilevel"/>
    <w:tmpl w:val="A4E0A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3A3AC4"/>
    <w:multiLevelType w:val="hybridMultilevel"/>
    <w:tmpl w:val="7AE088B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C971E96"/>
    <w:multiLevelType w:val="hybridMultilevel"/>
    <w:tmpl w:val="903E1EC2"/>
    <w:lvl w:ilvl="0" w:tplc="14EC0BE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3B"/>
    <w:rsid w:val="00014686"/>
    <w:rsid w:val="00061230"/>
    <w:rsid w:val="00061F0D"/>
    <w:rsid w:val="00080141"/>
    <w:rsid w:val="00256FF2"/>
    <w:rsid w:val="002B1EC9"/>
    <w:rsid w:val="002C52DB"/>
    <w:rsid w:val="003C43EB"/>
    <w:rsid w:val="0040333A"/>
    <w:rsid w:val="00471211"/>
    <w:rsid w:val="00477D7F"/>
    <w:rsid w:val="00487B47"/>
    <w:rsid w:val="00520CA0"/>
    <w:rsid w:val="00540419"/>
    <w:rsid w:val="00562666"/>
    <w:rsid w:val="005B0F21"/>
    <w:rsid w:val="00607FB6"/>
    <w:rsid w:val="007D0B38"/>
    <w:rsid w:val="007D186B"/>
    <w:rsid w:val="007E04AE"/>
    <w:rsid w:val="00893C69"/>
    <w:rsid w:val="008B0288"/>
    <w:rsid w:val="009715C5"/>
    <w:rsid w:val="009F4963"/>
    <w:rsid w:val="00A01E77"/>
    <w:rsid w:val="00A56B98"/>
    <w:rsid w:val="00A73BED"/>
    <w:rsid w:val="00A83B52"/>
    <w:rsid w:val="00AA5199"/>
    <w:rsid w:val="00AE1E65"/>
    <w:rsid w:val="00BF6B3B"/>
    <w:rsid w:val="00C06AB7"/>
    <w:rsid w:val="00D254E7"/>
    <w:rsid w:val="00D65049"/>
    <w:rsid w:val="00DD7BA1"/>
    <w:rsid w:val="00E34C3C"/>
    <w:rsid w:val="00E61FD0"/>
    <w:rsid w:val="00F207F0"/>
    <w:rsid w:val="00F328D0"/>
    <w:rsid w:val="00F5454C"/>
    <w:rsid w:val="00F83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DDA6B"/>
  <w15:docId w15:val="{332A522B-DE00-4B5E-B7A7-6E0E8665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5C5"/>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BF6B3B"/>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BF6B3B"/>
    <w:rPr>
      <w:rFonts w:ascii="Tahoma" w:hAnsi="Tahoma" w:cs="Tahoma"/>
      <w:sz w:val="16"/>
      <w:szCs w:val="16"/>
    </w:rPr>
  </w:style>
  <w:style w:type="paragraph" w:styleId="Encabezado">
    <w:name w:val="header"/>
    <w:basedOn w:val="Normal"/>
    <w:link w:val="EncabezadoCar"/>
    <w:uiPriority w:val="99"/>
    <w:rsid w:val="008B0288"/>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8B0288"/>
    <w:rPr>
      <w:sz w:val="24"/>
      <w:szCs w:val="24"/>
    </w:rPr>
  </w:style>
  <w:style w:type="paragraph" w:styleId="Piedepgina">
    <w:name w:val="footer"/>
    <w:basedOn w:val="Normal"/>
    <w:link w:val="PiedepginaCar"/>
    <w:uiPriority w:val="99"/>
    <w:rsid w:val="008B0288"/>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8B0288"/>
    <w:rPr>
      <w:sz w:val="24"/>
      <w:szCs w:val="24"/>
    </w:rPr>
  </w:style>
  <w:style w:type="paragraph" w:styleId="Prrafodelista">
    <w:name w:val="List Paragraph"/>
    <w:basedOn w:val="Normal"/>
    <w:uiPriority w:val="34"/>
    <w:qFormat/>
    <w:rsid w:val="00893C69"/>
    <w:pPr>
      <w:ind w:left="720"/>
      <w:contextualSpacing/>
    </w:pPr>
  </w:style>
  <w:style w:type="table" w:styleId="Tablaconcuadrcula">
    <w:name w:val="Table Grid"/>
    <w:basedOn w:val="Tablanormal"/>
    <w:uiPriority w:val="39"/>
    <w:rsid w:val="00893C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dc:creator>
  <cp:lastModifiedBy>Asun</cp:lastModifiedBy>
  <cp:revision>4</cp:revision>
  <cp:lastPrinted>2026-04-09T08:24:00Z</cp:lastPrinted>
  <dcterms:created xsi:type="dcterms:W3CDTF">2026-04-09T11:19:00Z</dcterms:created>
  <dcterms:modified xsi:type="dcterms:W3CDTF">2026-04-10T09:57:00Z</dcterms:modified>
</cp:coreProperties>
</file>